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 Curriculum Guide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 Curriculum Guide manuscript...</w:t>
        <w:br/>
      </w:r>
    </w:p>
    <w:p>
      <w:r>
        <w:t>Sample paragraph 2 from the Daddyland Curriculum Guide manuscript...</w:t>
        <w:br/>
      </w:r>
    </w:p>
    <w:p>
      <w:r>
        <w:t>Sample paragraph 3 from the Daddyland Curriculum Guide manuscript...</w:t>
        <w:br/>
      </w:r>
    </w:p>
    <w:p>
      <w:r>
        <w:br/>
        <w:t>---</w:t>
        <w:br/>
      </w:r>
    </w:p>
    <w:p>
      <w:r>
        <w:t>[[SAFE IMAGE PLACEHOLDER: Teaching Insert – Discussion Art Prompt A]]</w:t>
      </w:r>
    </w:p>
    <w:p>
      <w:r>
        <w:t>[[SAFE IMAGE PLACEHOLDER: Visual Teaching Aid – Ghost Map Fragment]]</w:t>
      </w:r>
    </w:p>
    <w:p>
      <w:r>
        <w:t>[[SAFE IMAGE PLACEHOLDER: Aftercare Page Placeholder – Emotional Landing Spot]]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